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839" w:type="dxa"/>
        <w:tblLayout w:type="fixed"/>
        <w:tblLook w:val="04A0" w:firstRow="1" w:lastRow="0" w:firstColumn="1" w:lastColumn="0" w:noHBand="0" w:noVBand="1"/>
      </w:tblPr>
      <w:tblGrid>
        <w:gridCol w:w="3794"/>
        <w:gridCol w:w="1985"/>
        <w:gridCol w:w="1985"/>
        <w:gridCol w:w="4075"/>
      </w:tblGrid>
      <w:tr w:rsidR="007E439D" w:rsidRPr="004B0C00" w:rsidTr="007E439D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39D" w:rsidRPr="004B0C00" w:rsidRDefault="007E439D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E439D" w:rsidRPr="00086B4B" w:rsidRDefault="007E439D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439D" w:rsidRPr="004B0C00" w:rsidRDefault="007E439D">
            <w:pPr>
              <w:jc w:val="center"/>
              <w:rPr>
                <w:color w:val="3366FF"/>
                <w:lang w:val="uk-UA" w:eastAsia="uk-UA"/>
              </w:rPr>
            </w:pPr>
            <w:r w:rsidRPr="00086B4B">
              <w:rPr>
                <w:noProof/>
              </w:rPr>
              <w:drawing>
                <wp:inline distT="0" distB="0" distL="0" distR="0" wp14:anchorId="54E5BA2D" wp14:editId="0C2442C4">
                  <wp:extent cx="409575" cy="609600"/>
                  <wp:effectExtent l="0" t="0" r="0" b="0"/>
                  <wp:docPr id="1" name="??????? 1" descr="???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??????? 1" descr="???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39D" w:rsidRPr="004B0C00" w:rsidRDefault="007E439D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2614B6" w:rsidRPr="004B0C00" w:rsidRDefault="002614B6">
      <w:pPr>
        <w:rPr>
          <w:lang w:val="uk-UA" w:eastAsia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614B6" w:rsidRPr="004B0C0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4B6" w:rsidRPr="004B0C00" w:rsidRDefault="002614B6">
            <w:pPr>
              <w:jc w:val="center"/>
              <w:rPr>
                <w:b/>
                <w:bCs/>
                <w:caps/>
                <w:color w:val="0348E3"/>
                <w:sz w:val="36"/>
                <w:szCs w:val="36"/>
                <w:lang w:val="uk-UA" w:eastAsia="uk-UA"/>
              </w:rPr>
            </w:pPr>
            <w:r w:rsidRPr="004B0C00">
              <w:rPr>
                <w:b/>
                <w:bCs/>
                <w:caps/>
                <w:color w:val="0348E3"/>
                <w:sz w:val="36"/>
                <w:szCs w:val="36"/>
                <w:lang w:val="uk-UA" w:eastAsia="uk-UA"/>
              </w:rPr>
              <w:t>мІнІстерство РОЗВИТКУ ГРОМАД, ТЕРИТОРІЙ</w:t>
            </w:r>
          </w:p>
          <w:p w:rsidR="002614B6" w:rsidRPr="004B0C00" w:rsidRDefault="002614B6">
            <w:pPr>
              <w:jc w:val="center"/>
              <w:rPr>
                <w:b/>
                <w:bCs/>
                <w:caps/>
                <w:color w:val="0348E3"/>
                <w:sz w:val="32"/>
                <w:szCs w:val="32"/>
                <w:lang w:val="uk-UA" w:eastAsia="uk-UA"/>
              </w:rPr>
            </w:pPr>
            <w:r w:rsidRPr="004B0C00">
              <w:rPr>
                <w:b/>
                <w:bCs/>
                <w:caps/>
                <w:color w:val="0348E3"/>
                <w:sz w:val="36"/>
                <w:szCs w:val="36"/>
                <w:lang w:val="uk-UA" w:eastAsia="uk-UA"/>
              </w:rPr>
              <w:t>ТА ІНФРАСТРУКТУРИ УКРАЇНИ</w:t>
            </w:r>
          </w:p>
        </w:tc>
      </w:tr>
    </w:tbl>
    <w:p w:rsidR="002614B6" w:rsidRPr="004B0C00" w:rsidRDefault="002614B6">
      <w:pPr>
        <w:rPr>
          <w:b/>
          <w:bCs/>
          <w:caps/>
          <w:color w:val="0348E3"/>
          <w:sz w:val="44"/>
          <w:szCs w:val="44"/>
          <w:lang w:val="uk-UA" w:eastAsia="uk-UA"/>
        </w:rPr>
      </w:pPr>
    </w:p>
    <w:p w:rsidR="002614B6" w:rsidRPr="004B0C00" w:rsidRDefault="002614B6">
      <w:pPr>
        <w:jc w:val="center"/>
        <w:rPr>
          <w:b/>
          <w:bCs/>
          <w:caps/>
          <w:color w:val="0348E3"/>
          <w:sz w:val="36"/>
          <w:szCs w:val="36"/>
          <w:lang w:val="uk-UA" w:eastAsia="uk-UA"/>
        </w:rPr>
      </w:pPr>
      <w:r w:rsidRPr="004B0C00">
        <w:rPr>
          <w:b/>
          <w:bCs/>
          <w:caps/>
          <w:color w:val="0348E3"/>
          <w:sz w:val="44"/>
          <w:szCs w:val="44"/>
          <w:lang w:val="uk-UA" w:eastAsia="uk-UA"/>
        </w:rPr>
        <w:t>наказ</w:t>
      </w:r>
    </w:p>
    <w:p w:rsidR="002614B6" w:rsidRPr="004B0C00" w:rsidRDefault="002614B6">
      <w:pPr>
        <w:jc w:val="center"/>
        <w:rPr>
          <w:sz w:val="12"/>
          <w:szCs w:val="12"/>
          <w:lang w:val="uk-UA" w:eastAsia="uk-UA"/>
        </w:rPr>
      </w:pPr>
    </w:p>
    <w:tbl>
      <w:tblPr>
        <w:tblW w:w="92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011"/>
        <w:gridCol w:w="3685"/>
        <w:gridCol w:w="2551"/>
      </w:tblGrid>
      <w:tr w:rsidR="002614B6" w:rsidRPr="004B0C00">
        <w:tc>
          <w:tcPr>
            <w:tcW w:w="30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4B6" w:rsidRPr="002E0CCE" w:rsidRDefault="002E0CCE">
            <w:pPr>
              <w:jc w:val="center"/>
              <w:rPr>
                <w:b/>
                <w:bCs/>
                <w:sz w:val="32"/>
                <w:szCs w:val="32"/>
                <w:lang w:eastAsia="uk-UA"/>
              </w:rPr>
            </w:pPr>
            <w:r>
              <w:rPr>
                <w:b/>
                <w:bCs/>
                <w:sz w:val="32"/>
                <w:szCs w:val="32"/>
                <w:lang w:val="en-US" w:eastAsia="uk-UA"/>
              </w:rPr>
              <w:t>13.01.2023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14B6" w:rsidRPr="004B0C00" w:rsidRDefault="002614B6">
            <w:pPr>
              <w:rPr>
                <w:b/>
                <w:bCs/>
                <w:sz w:val="24"/>
                <w:szCs w:val="24"/>
                <w:lang w:val="uk-UA" w:eastAsia="en-US"/>
              </w:rPr>
            </w:pP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       </w:t>
            </w:r>
            <w:r w:rsidRPr="004B0C00">
              <w:rPr>
                <w:b/>
                <w:bCs/>
                <w:sz w:val="24"/>
                <w:szCs w:val="24"/>
                <w:lang w:val="uk-UA" w:eastAsia="uk-UA"/>
              </w:rPr>
              <w:t xml:space="preserve">       </w:t>
            </w:r>
            <w:r w:rsidRPr="004B0C00">
              <w:rPr>
                <w:b/>
                <w:bCs/>
                <w:color w:val="0348E3"/>
                <w:sz w:val="24"/>
                <w:szCs w:val="24"/>
                <w:lang w:val="uk-UA" w:eastAsia="uk-UA"/>
              </w:rPr>
              <w:t>м</w:t>
            </w:r>
            <w:r w:rsidRPr="004B0C00">
              <w:rPr>
                <w:b/>
                <w:bCs/>
                <w:caps/>
                <w:color w:val="0348E3"/>
                <w:sz w:val="24"/>
                <w:szCs w:val="24"/>
                <w:lang w:val="uk-UA" w:eastAsia="uk-UA"/>
              </w:rPr>
              <w:t xml:space="preserve">. </w:t>
            </w:r>
            <w:r w:rsidRPr="004B0C00">
              <w:rPr>
                <w:b/>
                <w:bCs/>
                <w:color w:val="0348E3"/>
                <w:sz w:val="24"/>
                <w:szCs w:val="24"/>
                <w:lang w:val="uk-UA" w:eastAsia="uk-UA"/>
              </w:rPr>
              <w:t>Київ</w:t>
            </w: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      </w:t>
            </w:r>
            <w:r w:rsidRPr="004B0C00">
              <w:rPr>
                <w:b/>
                <w:bCs/>
                <w:sz w:val="24"/>
                <w:szCs w:val="24"/>
                <w:lang w:val="uk-UA" w:eastAsia="uk-UA"/>
              </w:rPr>
              <w:t xml:space="preserve">  </w:t>
            </w: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             </w:t>
            </w:r>
            <w:r w:rsidRPr="004B0C00">
              <w:rPr>
                <w:b/>
                <w:bCs/>
                <w:sz w:val="24"/>
                <w:szCs w:val="24"/>
                <w:lang w:val="uk-UA" w:eastAsia="uk-UA"/>
              </w:rPr>
              <w:t>№</w:t>
            </w: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4B6" w:rsidRPr="002E0CCE" w:rsidRDefault="002E0CCE">
            <w:pPr>
              <w:rPr>
                <w:b/>
                <w:bCs/>
                <w:sz w:val="32"/>
                <w:szCs w:val="32"/>
                <w:lang w:val="uk-UA" w:eastAsia="uk-UA"/>
              </w:rPr>
            </w:pPr>
            <w:r w:rsidRPr="002E0CCE">
              <w:rPr>
                <w:b/>
                <w:bCs/>
                <w:sz w:val="32"/>
                <w:szCs w:val="32"/>
                <w:lang w:val="uk-UA" w:eastAsia="uk-UA"/>
              </w:rPr>
              <w:t>27</w:t>
            </w:r>
          </w:p>
        </w:tc>
      </w:tr>
    </w:tbl>
    <w:p w:rsidR="002614B6" w:rsidRPr="004B0C00" w:rsidRDefault="002614B6">
      <w:pPr>
        <w:rPr>
          <w:lang w:val="uk-UA" w:eastAsia="en-US"/>
        </w:rPr>
      </w:pPr>
    </w:p>
    <w:p w:rsidR="002614B6" w:rsidRPr="004B0C00" w:rsidRDefault="002614B6">
      <w:pPr>
        <w:rPr>
          <w:lang w:val="uk-UA" w:eastAsia="en-US"/>
        </w:rPr>
      </w:pPr>
    </w:p>
    <w:p w:rsidR="002E0CCE" w:rsidRPr="001D142F" w:rsidRDefault="002E0CCE" w:rsidP="002E0CCE">
      <w:pPr>
        <w:ind w:firstLine="567"/>
        <w:jc w:val="center"/>
        <w:rPr>
          <w:lang w:val="uk-UA"/>
        </w:rPr>
      </w:pPr>
      <w:r w:rsidRPr="001D142F">
        <w:rPr>
          <w:lang w:val="uk-UA"/>
        </w:rPr>
        <w:t>Зареєстровано в Міністерстві юстиції України</w:t>
      </w:r>
    </w:p>
    <w:p w:rsidR="002E0CCE" w:rsidRPr="004333CC" w:rsidRDefault="002E0CCE" w:rsidP="002E0CCE">
      <w:pPr>
        <w:jc w:val="center"/>
        <w:rPr>
          <w:color w:val="FF0000"/>
          <w:lang w:val="uk-UA"/>
        </w:rPr>
      </w:pPr>
      <w:r>
        <w:rPr>
          <w:lang w:val="uk-UA"/>
        </w:rPr>
        <w:t>03 лютого</w:t>
      </w:r>
      <w:r w:rsidRPr="001D142F">
        <w:rPr>
          <w:lang w:val="uk-UA"/>
        </w:rPr>
        <w:t xml:space="preserve"> 202</w:t>
      </w:r>
      <w:r>
        <w:rPr>
          <w:lang w:val="uk-UA"/>
        </w:rPr>
        <w:t>3</w:t>
      </w:r>
      <w:r w:rsidRPr="001D142F">
        <w:rPr>
          <w:lang w:val="uk-UA"/>
        </w:rPr>
        <w:t xml:space="preserve"> </w:t>
      </w:r>
      <w:r w:rsidRPr="004333CC">
        <w:rPr>
          <w:lang w:val="uk-UA"/>
        </w:rPr>
        <w:t xml:space="preserve">року за № </w:t>
      </w:r>
      <w:r>
        <w:rPr>
          <w:lang w:val="uk-UA"/>
        </w:rPr>
        <w:t>231</w:t>
      </w:r>
      <w:r>
        <w:t>/39287</w:t>
      </w:r>
    </w:p>
    <w:p w:rsidR="002614B6" w:rsidRPr="004B0C00" w:rsidRDefault="002614B6" w:rsidP="002E0CCE">
      <w:pPr>
        <w:jc w:val="center"/>
        <w:rPr>
          <w:sz w:val="28"/>
          <w:szCs w:val="28"/>
          <w:lang w:val="uk-UA" w:eastAsia="en-US"/>
        </w:rPr>
      </w:pPr>
    </w:p>
    <w:p w:rsidR="002614B6" w:rsidRPr="004B0C00" w:rsidRDefault="002614B6">
      <w:pPr>
        <w:rPr>
          <w:lang w:val="uk-UA"/>
        </w:rPr>
      </w:pPr>
    </w:p>
    <w:p w:rsidR="002614B6" w:rsidRPr="004B0C00" w:rsidRDefault="002614B6">
      <w:pPr>
        <w:rPr>
          <w:lang w:val="uk-UA"/>
        </w:rPr>
      </w:pPr>
    </w:p>
    <w:p w:rsidR="002614B6" w:rsidRPr="004B0C00" w:rsidRDefault="002614B6">
      <w:pPr>
        <w:ind w:right="5102"/>
        <w:jc w:val="both"/>
        <w:rPr>
          <w:b/>
          <w:bCs/>
          <w:sz w:val="28"/>
          <w:szCs w:val="28"/>
          <w:lang w:val="uk-UA"/>
        </w:rPr>
      </w:pPr>
      <w:r w:rsidRPr="004B0C00">
        <w:rPr>
          <w:b/>
          <w:bCs/>
          <w:sz w:val="28"/>
          <w:szCs w:val="28"/>
          <w:lang w:val="uk-UA"/>
        </w:rPr>
        <w:t>Про деякі питання встановлення залізничних транзитних тарифів</w:t>
      </w:r>
    </w:p>
    <w:p w:rsidR="002614B6" w:rsidRDefault="002614B6">
      <w:pPr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</w:p>
    <w:p w:rsidR="00AB6640" w:rsidRPr="00AB6640" w:rsidRDefault="00AB6640">
      <w:pPr>
        <w:jc w:val="both"/>
        <w:rPr>
          <w:i/>
          <w:sz w:val="24"/>
          <w:szCs w:val="24"/>
          <w:lang w:val="uk-UA"/>
        </w:rPr>
      </w:pPr>
    </w:p>
    <w:p w:rsidR="002614B6" w:rsidRDefault="002614B6">
      <w:pPr>
        <w:ind w:firstLine="709"/>
        <w:jc w:val="both"/>
        <w:rPr>
          <w:b/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>Відповідно до Закону України «Про залізничний транспорт», Указу Президента України від 24 лютого 2022 року № 64</w:t>
      </w:r>
      <w:r w:rsidR="00B94202">
        <w:rPr>
          <w:sz w:val="28"/>
          <w:szCs w:val="28"/>
          <w:lang w:val="uk-UA"/>
        </w:rPr>
        <w:t>/2022</w:t>
      </w:r>
      <w:r w:rsidRPr="004B0C00">
        <w:rPr>
          <w:sz w:val="28"/>
          <w:szCs w:val="28"/>
          <w:lang w:val="uk-UA"/>
        </w:rPr>
        <w:t xml:space="preserve"> «Про введення воєнного стану в Україні», затвердженого Законом України від 24 лютого 2022 року № 2102-IX «Про затвердження Указу Президента України «Про введення воєнного стану в Україні», абзацу третього підпункту 20 пункту 4 Положення про Міністерство розвитку громад, територій та інфраструктури України, затвердженого постановою Кабінету Міністрів України від 30 червня </w:t>
      </w:r>
      <w:r w:rsidR="00AB6640">
        <w:rPr>
          <w:sz w:val="28"/>
          <w:szCs w:val="28"/>
          <w:lang w:val="uk-UA"/>
        </w:rPr>
        <w:t xml:space="preserve">                       </w:t>
      </w:r>
      <w:r w:rsidRPr="004B0C00">
        <w:rPr>
          <w:sz w:val="28"/>
          <w:szCs w:val="28"/>
          <w:lang w:val="uk-UA"/>
        </w:rPr>
        <w:t xml:space="preserve">2015 року № 460 (в редакції постанови Кабінету Міністрів України </w:t>
      </w:r>
      <w:r w:rsidRPr="004B0C00">
        <w:rPr>
          <w:sz w:val="28"/>
          <w:szCs w:val="28"/>
          <w:lang w:val="uk-UA"/>
        </w:rPr>
        <w:br/>
        <w:t>від 17 грудня 2022 року № 1400),  </w:t>
      </w:r>
      <w:r w:rsidR="00B94202" w:rsidRPr="00B94202">
        <w:rPr>
          <w:b/>
          <w:sz w:val="28"/>
          <w:szCs w:val="28"/>
          <w:lang w:val="uk-UA"/>
        </w:rPr>
        <w:t>наказую</w:t>
      </w:r>
      <w:r w:rsidRPr="00B94202">
        <w:rPr>
          <w:b/>
          <w:bCs/>
          <w:sz w:val="28"/>
          <w:szCs w:val="28"/>
          <w:lang w:val="uk-UA"/>
        </w:rPr>
        <w:t>:</w:t>
      </w:r>
      <w:r w:rsidRPr="00AB6640">
        <w:rPr>
          <w:b/>
          <w:sz w:val="28"/>
          <w:szCs w:val="28"/>
          <w:lang w:val="uk-UA"/>
        </w:rPr>
        <w:t xml:space="preserve">  </w:t>
      </w:r>
    </w:p>
    <w:p w:rsidR="00AB6640" w:rsidRPr="00AB6640" w:rsidRDefault="00AB6640">
      <w:pPr>
        <w:ind w:firstLine="709"/>
        <w:jc w:val="both"/>
        <w:rPr>
          <w:b/>
          <w:sz w:val="28"/>
          <w:szCs w:val="28"/>
          <w:lang w:val="uk-UA"/>
        </w:rPr>
      </w:pPr>
    </w:p>
    <w:p w:rsidR="004B0C00" w:rsidRPr="004B0C00" w:rsidRDefault="002614B6">
      <w:pPr>
        <w:numPr>
          <w:ilvl w:val="0"/>
          <w:numId w:val="1"/>
        </w:numPr>
        <w:ind w:left="0" w:firstLine="491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Встановити, що до припинення воєнного стану в Україні та протягом </w:t>
      </w:r>
      <w:r w:rsidR="00B94202">
        <w:rPr>
          <w:sz w:val="28"/>
          <w:szCs w:val="28"/>
          <w:lang w:val="uk-UA"/>
        </w:rPr>
        <w:t xml:space="preserve">   </w:t>
      </w:r>
      <w:r w:rsidRPr="004B0C00">
        <w:rPr>
          <w:sz w:val="28"/>
          <w:szCs w:val="28"/>
          <w:lang w:val="uk-UA"/>
        </w:rPr>
        <w:t>90 днів після його скасування</w:t>
      </w:r>
      <w:r w:rsidR="004B0C00" w:rsidRPr="004B0C00">
        <w:rPr>
          <w:sz w:val="28"/>
          <w:szCs w:val="28"/>
          <w:lang w:val="uk-UA"/>
        </w:rPr>
        <w:t>:</w:t>
      </w:r>
    </w:p>
    <w:p w:rsidR="00AB6640" w:rsidRPr="004B0C00" w:rsidRDefault="00AB6640" w:rsidP="004B0C00">
      <w:pPr>
        <w:jc w:val="both"/>
        <w:rPr>
          <w:sz w:val="24"/>
          <w:szCs w:val="24"/>
          <w:lang w:val="uk-UA"/>
        </w:rPr>
      </w:pPr>
    </w:p>
    <w:p w:rsidR="002614B6" w:rsidRPr="004B0C00" w:rsidRDefault="002614B6" w:rsidP="004B0C00">
      <w:pPr>
        <w:ind w:firstLine="491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>розрахунок провізних платежів під час перевезення транзитних вантажів територією України здійснюється за правилами та тарифами Збірника тарифів на перевезення вантажів залізничним транспортом у межах України та пов’язані з ними послуги та Коефіцієнтів, що застосовуються до Збірника тарифів на перевезення вантажів залізничним транспортом у межах України, та пов’язані з ними послуги,</w:t>
      </w:r>
      <w:r w:rsidRPr="004B0C00">
        <w:rPr>
          <w:rFonts w:ascii="Calibri" w:hAnsi="Calibri" w:cs="Calibri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4B0C00">
        <w:rPr>
          <w:sz w:val="28"/>
          <w:szCs w:val="28"/>
          <w:lang w:val="uk-UA"/>
        </w:rPr>
        <w:t>затвердженого наказом Міністерства транспорту та зв’язку України від 26 березня 2009 року № 317, зареєстрован</w:t>
      </w:r>
      <w:r w:rsidR="004A3268">
        <w:rPr>
          <w:sz w:val="28"/>
          <w:szCs w:val="28"/>
          <w:lang w:val="uk-UA"/>
        </w:rPr>
        <w:t>им</w:t>
      </w:r>
      <w:r w:rsidRPr="004B0C00">
        <w:rPr>
          <w:sz w:val="28"/>
          <w:szCs w:val="28"/>
          <w:lang w:val="uk-UA"/>
        </w:rPr>
        <w:t xml:space="preserve"> </w:t>
      </w:r>
      <w:r w:rsidR="004A3268">
        <w:rPr>
          <w:sz w:val="28"/>
          <w:szCs w:val="28"/>
          <w:lang w:val="uk-UA"/>
        </w:rPr>
        <w:t>у</w:t>
      </w:r>
      <w:r w:rsidRPr="004B0C00">
        <w:rPr>
          <w:sz w:val="28"/>
          <w:szCs w:val="28"/>
          <w:lang w:val="uk-UA"/>
        </w:rPr>
        <w:t xml:space="preserve"> Міністерстві юстиції України 15 квітня 2009 року за № 340/16356 (зі змінами) (далі – Збірни</w:t>
      </w:r>
      <w:bookmarkStart w:id="0" w:name="_GoBack"/>
      <w:bookmarkEnd w:id="0"/>
      <w:r w:rsidRPr="004B0C00">
        <w:rPr>
          <w:sz w:val="28"/>
          <w:szCs w:val="28"/>
          <w:lang w:val="uk-UA"/>
        </w:rPr>
        <w:t>к тарифів</w:t>
      </w:r>
      <w:r w:rsidR="004B0C00" w:rsidRPr="004B0C00">
        <w:rPr>
          <w:sz w:val="28"/>
          <w:szCs w:val="28"/>
          <w:lang w:val="uk-UA"/>
        </w:rPr>
        <w:t>);</w:t>
      </w:r>
    </w:p>
    <w:p w:rsidR="002614B6" w:rsidRPr="004B0C00" w:rsidRDefault="002614B6">
      <w:pPr>
        <w:jc w:val="center"/>
        <w:rPr>
          <w:sz w:val="24"/>
          <w:szCs w:val="24"/>
          <w:lang w:val="uk-UA"/>
        </w:rPr>
      </w:pPr>
    </w:p>
    <w:p w:rsidR="002614B6" w:rsidRPr="004B0C00" w:rsidRDefault="002614B6" w:rsidP="004B0C00">
      <w:pPr>
        <w:ind w:firstLine="491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абзаци третій, четвертий підпункту 27.2 пункту 27 та абзац третій підпункту 29.2 пункту 29 розділу ІІ Збірника тарифів у частині перевезень транзитних вантажів територією України не </w:t>
      </w:r>
      <w:r w:rsidR="004B0C00" w:rsidRPr="004B0C00">
        <w:rPr>
          <w:sz w:val="28"/>
          <w:szCs w:val="28"/>
          <w:lang w:val="uk-UA"/>
        </w:rPr>
        <w:t>застосовую</w:t>
      </w:r>
      <w:r w:rsidRPr="004B0C00">
        <w:rPr>
          <w:sz w:val="28"/>
          <w:szCs w:val="28"/>
          <w:lang w:val="uk-UA"/>
        </w:rPr>
        <w:t>ться.</w:t>
      </w:r>
    </w:p>
    <w:p w:rsidR="002614B6" w:rsidRPr="004B0C00" w:rsidRDefault="002614B6">
      <w:pPr>
        <w:ind w:firstLine="567"/>
        <w:jc w:val="both"/>
        <w:rPr>
          <w:lang w:val="uk-UA"/>
        </w:rPr>
      </w:pPr>
    </w:p>
    <w:p w:rsidR="002614B6" w:rsidRPr="004B0C00" w:rsidRDefault="002614B6">
      <w:pPr>
        <w:ind w:firstLine="709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>2. Управлінню залізничного транспорту забезпечити подання цього наказу до Міністерства юстиції України на державну реєстрацію в установленому порядку.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 </w:t>
      </w:r>
    </w:p>
    <w:p w:rsidR="002614B6" w:rsidRPr="004B0C00" w:rsidRDefault="002614B6">
      <w:pPr>
        <w:ind w:firstLine="709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3. Сектору зовнішніх комунікацій забезпечити розміщення цього наказу на офіційному </w:t>
      </w:r>
      <w:proofErr w:type="spellStart"/>
      <w:r w:rsidRPr="004B0C00">
        <w:rPr>
          <w:sz w:val="28"/>
          <w:szCs w:val="28"/>
          <w:lang w:val="uk-UA"/>
        </w:rPr>
        <w:t>вебсайті</w:t>
      </w:r>
      <w:proofErr w:type="spellEnd"/>
      <w:r w:rsidRPr="004B0C00">
        <w:rPr>
          <w:sz w:val="28"/>
          <w:szCs w:val="28"/>
          <w:lang w:val="uk-UA"/>
        </w:rPr>
        <w:t xml:space="preserve"> </w:t>
      </w:r>
      <w:r w:rsidRPr="004B0C00">
        <w:rPr>
          <w:color w:val="202124"/>
          <w:sz w:val="28"/>
          <w:szCs w:val="28"/>
          <w:shd w:val="clear" w:color="auto" w:fill="FFFFFF"/>
          <w:lang w:val="uk-UA"/>
        </w:rPr>
        <w:t>Міністерства розвитку громад, територій та інфраструктури України</w:t>
      </w:r>
      <w:r w:rsidRPr="004B0C00">
        <w:rPr>
          <w:sz w:val="28"/>
          <w:szCs w:val="28"/>
          <w:lang w:val="uk-UA"/>
        </w:rPr>
        <w:t>.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 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>4. Цей наказ набирає чинності з дня його офіційного опублікування.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 </w:t>
      </w:r>
    </w:p>
    <w:p w:rsidR="002614B6" w:rsidRPr="004B0C00" w:rsidRDefault="002614B6">
      <w:pPr>
        <w:ind w:firstLine="709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5. Контроль за виконанням цього наказу покласти на першого заступника Міністра В. </w:t>
      </w:r>
      <w:proofErr w:type="spellStart"/>
      <w:r w:rsidRPr="004B0C00">
        <w:rPr>
          <w:sz w:val="28"/>
          <w:szCs w:val="28"/>
          <w:lang w:val="uk-UA"/>
        </w:rPr>
        <w:t>Шкуракова</w:t>
      </w:r>
      <w:proofErr w:type="spellEnd"/>
      <w:r w:rsidRPr="004B0C00">
        <w:rPr>
          <w:sz w:val="28"/>
          <w:szCs w:val="28"/>
          <w:lang w:val="uk-UA"/>
        </w:rPr>
        <w:t>.</w:t>
      </w:r>
    </w:p>
    <w:p w:rsidR="002614B6" w:rsidRPr="004B0C00" w:rsidRDefault="002614B6">
      <w:pPr>
        <w:ind w:firstLine="567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</w:p>
    <w:p w:rsidR="002614B6" w:rsidRPr="004B0C00" w:rsidRDefault="002614B6">
      <w:pPr>
        <w:ind w:firstLine="567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</w:p>
    <w:p w:rsidR="002614B6" w:rsidRPr="004B0C00" w:rsidRDefault="002614B6">
      <w:pPr>
        <w:ind w:firstLine="567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</w:p>
    <w:p w:rsidR="002614B6" w:rsidRPr="004B0C00" w:rsidRDefault="00C55348" w:rsidP="00C5534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Міністра                                                                 Василь ШКУРАКОВ</w:t>
      </w:r>
    </w:p>
    <w:p w:rsidR="002614B6" w:rsidRPr="004B0C00" w:rsidRDefault="002614B6">
      <w:pPr>
        <w:rPr>
          <w:lang w:val="uk-UA"/>
        </w:rPr>
      </w:pPr>
    </w:p>
    <w:sectPr w:rsidR="002614B6" w:rsidRPr="004B0C00" w:rsidSect="00A12F1C">
      <w:headerReference w:type="default" r:id="rId8"/>
      <w:footerReference w:type="default" r:id="rId9"/>
      <w:pgSz w:w="11906" w:h="16838"/>
      <w:pgMar w:top="709" w:right="850" w:bottom="212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DA" w:rsidRDefault="00A458DA"/>
  </w:endnote>
  <w:endnote w:type="continuationSeparator" w:id="0">
    <w:p w:rsidR="00A458DA" w:rsidRDefault="00A458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F1C" w:rsidRPr="00A12F1C" w:rsidRDefault="00E75665">
    <w:pPr>
      <w:pStyle w:val="ae"/>
    </w:pPr>
    <w:r>
      <w:rPr>
        <w:bCs/>
        <w:sz w:val="18"/>
        <w:szCs w:val="18"/>
      </w:rPr>
      <w:t>О</w:t>
    </w:r>
    <w:proofErr w:type="spellStart"/>
    <w:r>
      <w:rPr>
        <w:bCs/>
        <w:sz w:val="18"/>
        <w:szCs w:val="18"/>
        <w:lang w:val="uk-UA"/>
      </w:rPr>
      <w:t>фіційно</w:t>
    </w:r>
    <w:proofErr w:type="spellEnd"/>
    <w:r>
      <w:rPr>
        <w:bCs/>
        <w:sz w:val="18"/>
        <w:szCs w:val="18"/>
        <w:lang w:val="uk-UA"/>
      </w:rPr>
      <w:t xml:space="preserve"> опубліковано </w:t>
    </w:r>
    <w:r w:rsidR="00A12F1C" w:rsidRPr="00A12F1C">
      <w:rPr>
        <w:bCs/>
        <w:sz w:val="18"/>
        <w:szCs w:val="18"/>
      </w:rPr>
      <w:t>в</w:t>
    </w:r>
    <w:r w:rsidR="00A12F1C" w:rsidRPr="00A12F1C">
      <w:rPr>
        <w:bCs/>
        <w:color w:val="293237"/>
      </w:rPr>
      <w:t> </w:t>
    </w:r>
    <w:r w:rsidR="00B94202">
      <w:rPr>
        <w:bCs/>
        <w:color w:val="293237"/>
        <w:lang w:val="uk-UA"/>
      </w:rPr>
      <w:t xml:space="preserve">газеті «Урядовий </w:t>
    </w:r>
    <w:proofErr w:type="spellStart"/>
    <w:r w:rsidR="00B94202">
      <w:rPr>
        <w:bCs/>
        <w:color w:val="293237"/>
        <w:lang w:val="uk-UA"/>
      </w:rPr>
      <w:t>кур</w:t>
    </w:r>
    <w:proofErr w:type="spellEnd"/>
    <w:r w:rsidR="00B94202" w:rsidRPr="00B94202">
      <w:rPr>
        <w:bCs/>
        <w:color w:val="293237"/>
      </w:rPr>
      <w:t>’</w:t>
    </w:r>
    <w:proofErr w:type="spellStart"/>
    <w:r w:rsidR="00B94202">
      <w:rPr>
        <w:bCs/>
        <w:color w:val="293237"/>
        <w:lang w:val="uk-UA"/>
      </w:rPr>
      <w:t>єр</w:t>
    </w:r>
    <w:proofErr w:type="spellEnd"/>
    <w:r w:rsidR="00A12F1C">
      <w:rPr>
        <w:bCs/>
        <w:color w:val="293237"/>
      </w:rPr>
      <w:t>» №</w:t>
    </w:r>
    <w:r w:rsidR="00363DB0">
      <w:rPr>
        <w:bCs/>
        <w:color w:val="293237"/>
        <w:lang w:val="uk-UA"/>
      </w:rPr>
      <w:t xml:space="preserve"> 32</w:t>
    </w:r>
    <w:r w:rsidR="00A12F1C" w:rsidRPr="00A12F1C">
      <w:rPr>
        <w:bCs/>
        <w:color w:val="293237"/>
      </w:rPr>
      <w:t xml:space="preserve"> </w:t>
    </w:r>
    <w:proofErr w:type="spellStart"/>
    <w:r w:rsidR="00A12F1C" w:rsidRPr="00A12F1C">
      <w:rPr>
        <w:bCs/>
        <w:color w:val="293237"/>
      </w:rPr>
      <w:t>від</w:t>
    </w:r>
    <w:proofErr w:type="spellEnd"/>
    <w:r w:rsidR="00A12F1C" w:rsidRPr="00A12F1C">
      <w:rPr>
        <w:bCs/>
        <w:color w:val="293237"/>
      </w:rPr>
      <w:t xml:space="preserve"> </w:t>
    </w:r>
    <w:r w:rsidR="00A12F1C">
      <w:rPr>
        <w:bCs/>
        <w:color w:val="293237"/>
      </w:rPr>
      <w:t>15</w:t>
    </w:r>
    <w:r w:rsidR="00A12F1C" w:rsidRPr="00A12F1C">
      <w:rPr>
        <w:bCs/>
        <w:color w:val="293237"/>
      </w:rPr>
      <w:t>.0</w:t>
    </w:r>
    <w:r w:rsidR="00A12F1C">
      <w:rPr>
        <w:bCs/>
        <w:color w:val="293237"/>
      </w:rPr>
      <w:t>2</w:t>
    </w:r>
    <w:r w:rsidR="00A12F1C" w:rsidRPr="00A12F1C">
      <w:rPr>
        <w:bCs/>
        <w:color w:val="293237"/>
      </w:rPr>
      <w:t>.202</w:t>
    </w:r>
    <w:r w:rsidR="00A12F1C">
      <w:rPr>
        <w:bCs/>
        <w:color w:val="293237"/>
      </w:rPr>
      <w:t>3</w:t>
    </w:r>
    <w:r w:rsidR="00A12F1C" w:rsidRPr="00A12F1C">
      <w:rPr>
        <w:bCs/>
        <w:color w:val="293237"/>
      </w:rPr>
      <w:t xml:space="preserve"> року.</w:t>
    </w:r>
    <w:r w:rsidR="00A12F1C" w:rsidRPr="00A12F1C">
      <w:rPr>
        <w:bCs/>
        <w:color w:val="293237"/>
      </w:rPr>
      <w:br/>
    </w:r>
  </w:p>
  <w:p w:rsidR="00A12F1C" w:rsidRDefault="00A12F1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DA" w:rsidRDefault="00A458DA"/>
  </w:footnote>
  <w:footnote w:type="continuationSeparator" w:id="0">
    <w:p w:rsidR="00A458DA" w:rsidRDefault="00A458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4B6" w:rsidRPr="007E439D" w:rsidRDefault="002614B6">
    <w:pPr>
      <w:jc w:val="center"/>
      <w:rPr>
        <w:color w:val="FFFFFF" w:themeColor="background1"/>
        <w:sz w:val="28"/>
        <w:szCs w:val="28"/>
      </w:rPr>
    </w:pPr>
    <w:r w:rsidRPr="007E439D">
      <w:rPr>
        <w:color w:val="FFFFFF" w:themeColor="background1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4D554CA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C00"/>
    <w:rsid w:val="00086B4B"/>
    <w:rsid w:val="002614B6"/>
    <w:rsid w:val="002E0CCE"/>
    <w:rsid w:val="00363DB0"/>
    <w:rsid w:val="004A3268"/>
    <w:rsid w:val="004B0C00"/>
    <w:rsid w:val="00761726"/>
    <w:rsid w:val="007E439D"/>
    <w:rsid w:val="00A12F1C"/>
    <w:rsid w:val="00A40630"/>
    <w:rsid w:val="00A458DA"/>
    <w:rsid w:val="00AB6640"/>
    <w:rsid w:val="00B83A26"/>
    <w:rsid w:val="00B94202"/>
    <w:rsid w:val="00C55348"/>
    <w:rsid w:val="00E7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D147FA-1EFD-4AB4-9AD6-BCDE56C1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Pr>
      <w:lang w:val="en-US" w:eastAsia="en-US"/>
    </w:rPr>
  </w:style>
  <w:style w:type="paragraph" w:styleId="a5">
    <w:name w:val="endnote text"/>
    <w:basedOn w:val="a"/>
    <w:link w:val="a6"/>
    <w:uiPriority w:val="99"/>
    <w:rPr>
      <w:lang w:val="en-US" w:eastAsia="en-US"/>
    </w:rPr>
  </w:style>
  <w:style w:type="character" w:styleId="a7">
    <w:name w:val="endnote reference"/>
    <w:basedOn w:val="a0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a4">
    <w:name w:val="Текст сноски Знак"/>
    <w:basedOn w:val="a0"/>
    <w:link w:val="a3"/>
    <w:uiPriority w:val="99"/>
    <w:locked/>
    <w:rPr>
      <w:rFonts w:ascii="Times New Roman" w:hAnsi="Times New Roman" w:cs="Times New Roman"/>
      <w:sz w:val="20"/>
    </w:rPr>
  </w:style>
  <w:style w:type="paragraph" w:styleId="a8">
    <w:name w:val="Balloon Text"/>
    <w:basedOn w:val="a"/>
    <w:link w:val="a9"/>
    <w:uiPriority w:val="99"/>
    <w:rPr>
      <w:rFonts w:ascii="Segoe UI" w:hAnsi="Segoe UI" w:cs="Segoe UI"/>
      <w:sz w:val="18"/>
      <w:szCs w:val="18"/>
    </w:rPr>
  </w:style>
  <w:style w:type="table" w:styleId="1">
    <w:name w:val="Table Simple 1"/>
    <w:basedOn w:val="a1"/>
    <w:uiPriority w:val="99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a6">
    <w:name w:val="Текст концевой сноски Знак"/>
    <w:basedOn w:val="a0"/>
    <w:link w:val="a5"/>
    <w:uiPriority w:val="99"/>
    <w:locked/>
    <w:rPr>
      <w:rFonts w:ascii="Times New Roman" w:hAnsi="Times New Roman" w:cs="Times New Roman"/>
      <w:sz w:val="20"/>
    </w:rPr>
  </w:style>
  <w:style w:type="paragraph" w:styleId="aa">
    <w:name w:val="header"/>
    <w:basedOn w:val="a"/>
    <w:link w:val="ab"/>
    <w:uiPriority w:val="99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link w:val="aa"/>
    <w:uiPriority w:val="99"/>
    <w:locked/>
    <w:rPr>
      <w:rFonts w:ascii="Times New Roman" w:hAnsi="Times New Roman"/>
      <w:sz w:val="20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locked/>
    <w:rPr>
      <w:rFonts w:ascii="Segoe UI" w:hAnsi="Segoe UI" w:cs="Times New Roman"/>
      <w:sz w:val="18"/>
    </w:rPr>
  </w:style>
  <w:style w:type="character" w:customStyle="1" w:styleId="HeaderChar">
    <w:name w:val="Header Char"/>
    <w:basedOn w:val="a0"/>
    <w:uiPriority w:val="99"/>
    <w:semiHidden/>
    <w:rPr>
      <w:sz w:val="20"/>
      <w:szCs w:val="20"/>
      <w:lang w:val="ru-RU" w:eastAsia="ru-RU"/>
    </w:rPr>
  </w:style>
  <w:style w:type="character" w:customStyle="1" w:styleId="ac">
    <w:name w:val="Верхній колонтитул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ad">
    <w:name w:val="Нижний колонтитул Знак"/>
    <w:link w:val="ae"/>
    <w:uiPriority w:val="99"/>
    <w:locked/>
    <w:rPr>
      <w:rFonts w:ascii="Times New Roman" w:hAnsi="Times New Roman"/>
      <w:sz w:val="20"/>
      <w:lang w:val="ru-RU" w:eastAsia="ru-RU"/>
    </w:rPr>
  </w:style>
  <w:style w:type="paragraph" w:styleId="ae">
    <w:name w:val="footer"/>
    <w:basedOn w:val="a"/>
    <w:link w:val="ad"/>
    <w:uiPriority w:val="9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a0"/>
    <w:uiPriority w:val="99"/>
    <w:semiHidden/>
    <w:rPr>
      <w:sz w:val="20"/>
      <w:szCs w:val="20"/>
      <w:lang w:val="ru-RU" w:eastAsia="ru-RU"/>
    </w:rPr>
  </w:style>
  <w:style w:type="character" w:customStyle="1" w:styleId="af">
    <w:name w:val="Нижній колонтитул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11">
    <w:name w:val="Нижний колонтитул Знак1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styleId="af0">
    <w:name w:val="footnote reference"/>
    <w:basedOn w:val="a0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styleId="af1">
    <w:name w:val="line number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f2">
    <w:name w:val="Hyperlink"/>
    <w:basedOn w:val="a0"/>
    <w:uiPriority w:val="99"/>
    <w:rPr>
      <w:rFonts w:ascii="Times New Roman" w:hAnsi="Times New Roman" w:cs="Times New Roman"/>
      <w:color w:val="0000FF"/>
      <w:sz w:val="22"/>
      <w:szCs w:val="22"/>
      <w:u w:val="single"/>
    </w:rPr>
  </w:style>
  <w:style w:type="paragraph" w:styleId="af3">
    <w:name w:val="List Paragraph"/>
    <w:basedOn w:val="a"/>
    <w:uiPriority w:val="34"/>
    <w:qFormat/>
    <w:rsid w:val="00AB6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304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Єлецьких Сергій</dc:creator>
  <cp:keywords/>
  <dc:description/>
  <cp:lastModifiedBy>Ковальчук Ольга Сергіївна</cp:lastModifiedBy>
  <cp:revision>9</cp:revision>
  <cp:lastPrinted>2021-10-26T17:52:00Z</cp:lastPrinted>
  <dcterms:created xsi:type="dcterms:W3CDTF">2023-02-09T09:27:00Z</dcterms:created>
  <dcterms:modified xsi:type="dcterms:W3CDTF">2023-02-14T08:02:00Z</dcterms:modified>
</cp:coreProperties>
</file>